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Oklahoma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Oklahoma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Markwayne Mullin (R) and James Lankford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972,320 enrolled in Medicaid in Oklahoma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2 out of 7 working-age adults with disabilities or over 96,000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4 out of 9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2 out of 3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159,000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51% of births in OK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 </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cuts would really hurt Oklahoma.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Oklahoma.</w:t>
      </w:r>
      <w:r w:rsidDel="00000000" w:rsidR="00000000" w:rsidRPr="00000000">
        <w:rPr>
          <w:rtl w:val="0"/>
        </w:rPr>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2"/>
        </w:numPr>
        <w:ind w:left="1440" w:hanging="360"/>
      </w:pPr>
      <w:hyperlink r:id="rId15">
        <w:r w:rsidDel="00000000" w:rsidR="00000000" w:rsidRPr="00000000">
          <w:rPr>
            <w:color w:val="1155cc"/>
            <w:u w:val="single"/>
            <w:rtl w:val="0"/>
          </w:rPr>
          <w:t xml:space="preserve">The state GDP could shrink by over $1.1 billion and over 12,000 jobs could be lost in 2026</w:t>
        </w:r>
      </w:hyperlink>
      <w:r w:rsidDel="00000000" w:rsidR="00000000" w:rsidRPr="00000000">
        <w:rPr>
          <w:rtl w:val="0"/>
        </w:rPr>
      </w:r>
    </w:p>
    <w:p w:rsidR="00000000" w:rsidDel="00000000" w:rsidP="00000000" w:rsidRDefault="00000000" w:rsidRPr="00000000" w14:paraId="00000046">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$487 million</w:t>
        </w:r>
      </w:hyperlink>
      <w:r w:rsidDel="00000000" w:rsidR="00000000" w:rsidRPr="00000000">
        <w:rPr>
          <w:rtl w:val="0"/>
        </w:rPr>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Senator Mullin works hard for the rural communities of Oklahoma - they would be hit the hardest by Medicaid cuts </w:t>
      </w:r>
    </w:p>
    <w:p w:rsidR="00000000" w:rsidDel="00000000" w:rsidP="00000000" w:rsidRDefault="00000000" w:rsidRPr="00000000" w14:paraId="0000004E">
      <w:pPr>
        <w:numPr>
          <w:ilvl w:val="1"/>
          <w:numId w:val="2"/>
        </w:numPr>
        <w:ind w:left="1440" w:hanging="360"/>
      </w:pPr>
      <w:hyperlink r:id="rId20">
        <w:r w:rsidDel="00000000" w:rsidR="00000000" w:rsidRPr="00000000">
          <w:rPr>
            <w:color w:val="1155cc"/>
            <w:u w:val="single"/>
            <w:rtl w:val="0"/>
          </w:rPr>
          <w:t xml:space="preserve">30% of Oklahoma's rural hospitals are at immediate risk of closing</w:t>
        </w:r>
      </w:hyperlink>
      <w:r w:rsidDel="00000000" w:rsidR="00000000" w:rsidRPr="00000000">
        <w:rPr>
          <w:rtl w:val="0"/>
        </w:rPr>
        <w:t xml:space="preserve"> - so if Congress goes through with these Medicaid cuts, it could force a lot of rural facilities to close down. That would mean whole towns could lose their emergency rooms, maternity services, and access to regular doctor visits. For folks in the countryside, this isn't just a pain, it could be a really dangerous situation</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Senator Lankford has emphasized the importance economic growth, which is connected to healthcare and Medicaid since health and wellbeing are the basis for studying, obtaining jobs, and maintaining lifestyles </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2">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almost 144,000 more uninsured people in Oklahoma and over 450 more lives lost per year</w:t>
        </w:r>
      </w:hyperlink>
      <w:r w:rsidDel="00000000" w:rsidR="00000000" w:rsidRPr="00000000">
        <w:rPr>
          <w:rtl w:val="0"/>
        </w:rPr>
      </w:r>
    </w:p>
    <w:p w:rsidR="00000000" w:rsidDel="00000000" w:rsidP="00000000" w:rsidRDefault="00000000" w:rsidRPr="00000000" w14:paraId="00000053">
      <w:pPr>
        <w:numPr>
          <w:ilvl w:val="0"/>
          <w:numId w:val="2"/>
        </w:numPr>
        <w:ind w:left="720" w:hanging="360"/>
        <w:rPr>
          <w:b w:val="1"/>
        </w:rPr>
      </w:pPr>
      <w:r w:rsidDel="00000000" w:rsidR="00000000" w:rsidRPr="00000000">
        <w:rPr>
          <w:b w:val="1"/>
          <w:rtl w:val="0"/>
        </w:rPr>
        <w:t xml:space="preserve">Include personal stories!</w:t>
        <w:br w:type="textWrapp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klahoman.com/story/opinion/columns/2025/02/27/oklahoma-medicaid-cuts-harm-kids-seniors-healthcare/80520755007/" TargetMode="External"/><Relationship Id="rId11" Type="http://schemas.openxmlformats.org/officeDocument/2006/relationships/hyperlink" Target="https://files.kff.org/attachment/fact-sheet-medicaid-state-OK"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